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机打死亡证升级改造与天津市居民全死因信息系统</w:t>
      </w:r>
    </w:p>
    <w:p>
      <w:pPr>
        <w:jc w:val="center"/>
        <w:rPr>
          <w:b/>
          <w:bCs/>
          <w:sz w:val="32"/>
          <w:szCs w:val="32"/>
        </w:rPr>
      </w:pPr>
      <w:bookmarkStart w:id="2" w:name="_GoBack"/>
      <w:bookmarkEnd w:id="2"/>
      <w:r>
        <w:rPr>
          <w:rFonts w:hint="eastAsia"/>
          <w:b/>
          <w:bCs/>
          <w:sz w:val="32"/>
          <w:szCs w:val="32"/>
        </w:rPr>
        <w:t>对接项目需求书</w:t>
      </w:r>
    </w:p>
    <w:p>
      <w:pPr>
        <w:jc w:val="center"/>
        <w:rPr>
          <w:sz w:val="28"/>
          <w:szCs w:val="22"/>
        </w:rPr>
      </w:pPr>
      <w:r>
        <w:rPr>
          <w:rFonts w:hint="eastAsia"/>
          <w:sz w:val="28"/>
          <w:szCs w:val="22"/>
        </w:rPr>
        <w:t>运维服务内容及技术规范要求</w:t>
      </w:r>
    </w:p>
    <w:p>
      <w:pPr>
        <w:spacing w:line="360" w:lineRule="auto"/>
        <w:ind w:firstLine="482"/>
        <w:rPr>
          <w:rFonts w:hint="eastAsia" w:ascii="宋体" w:hAnsi="宋体" w:cs="宋体"/>
          <w:sz w:val="24"/>
        </w:rPr>
      </w:pPr>
      <w:r>
        <w:rPr>
          <w:rFonts w:hint="eastAsia" w:ascii="宋体" w:hAnsi="宋体" w:cs="宋体"/>
          <w:sz w:val="24"/>
        </w:rPr>
        <w:t>根据相关政策、医院管理需要及</w:t>
      </w:r>
      <w:r>
        <w:rPr>
          <w:rFonts w:ascii="宋体" w:hAnsi="宋体" w:cs="宋体"/>
          <w:sz w:val="24"/>
        </w:rPr>
        <w:t>天津市居民全死因信息系统对接</w:t>
      </w:r>
      <w:r>
        <w:rPr>
          <w:rFonts w:hint="eastAsia" w:ascii="宋体" w:hAnsi="宋体" w:cs="宋体"/>
          <w:sz w:val="24"/>
        </w:rPr>
        <w:t>等方面要求，为天津市南开医院提供运维服务，包括不定期适应性修改维护。并有义务根据甲方要求提出关于设备更新、软件升级等合理化建议和技术方案。信息系统内容包括：</w:t>
      </w:r>
    </w:p>
    <w:tbl>
      <w:tblPr>
        <w:tblStyle w:val="4"/>
        <w:tblW w:w="8638" w:type="dxa"/>
        <w:tblInd w:w="-166" w:type="dxa"/>
        <w:tblLayout w:type="fixed"/>
        <w:tblCellMar>
          <w:top w:w="0" w:type="dxa"/>
          <w:left w:w="108" w:type="dxa"/>
          <w:bottom w:w="0" w:type="dxa"/>
          <w:right w:w="108" w:type="dxa"/>
        </w:tblCellMar>
      </w:tblPr>
      <w:tblGrid>
        <w:gridCol w:w="799"/>
        <w:gridCol w:w="3176"/>
        <w:gridCol w:w="4663"/>
      </w:tblGrid>
      <w:tr>
        <w:tblPrEx>
          <w:tblCellMar>
            <w:top w:w="0" w:type="dxa"/>
            <w:left w:w="108" w:type="dxa"/>
            <w:bottom w:w="0" w:type="dxa"/>
            <w:right w:w="108" w:type="dxa"/>
          </w:tblCellMar>
        </w:tblPrEx>
        <w:trPr>
          <w:trHeight w:val="20" w:hRule="atLeast"/>
        </w:trPr>
        <w:tc>
          <w:tcPr>
            <w:tcW w:w="799" w:type="dxa"/>
            <w:tcBorders>
              <w:top w:val="single" w:color="auto" w:sz="4" w:space="0"/>
              <w:left w:val="single" w:color="auto" w:sz="8" w:space="0"/>
              <w:bottom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r>
              <w:rPr>
                <w:rFonts w:hint="eastAsia" w:ascii="宋体" w:hAnsi="宋体" w:cs="宋体"/>
                <w:kern w:val="0"/>
                <w:sz w:val="24"/>
              </w:rPr>
              <w:t>序号</w:t>
            </w:r>
          </w:p>
        </w:tc>
        <w:tc>
          <w:tcPr>
            <w:tcW w:w="3176" w:type="dxa"/>
            <w:tcBorders>
              <w:top w:val="single" w:color="auto" w:sz="4" w:space="0"/>
              <w:left w:val="nil"/>
              <w:bottom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r>
              <w:rPr>
                <w:rFonts w:hint="eastAsia" w:ascii="宋体" w:hAnsi="宋体" w:cs="宋体"/>
                <w:kern w:val="0"/>
                <w:sz w:val="24"/>
              </w:rPr>
              <w:t>服务内容</w:t>
            </w:r>
          </w:p>
        </w:tc>
        <w:tc>
          <w:tcPr>
            <w:tcW w:w="4663" w:type="dxa"/>
            <w:tcBorders>
              <w:top w:val="single" w:color="auto" w:sz="4" w:space="0"/>
              <w:left w:val="nil"/>
              <w:bottom w:val="single" w:color="auto" w:sz="8" w:space="0"/>
              <w:right w:val="single" w:color="auto" w:sz="8" w:space="0"/>
            </w:tcBorders>
          </w:tcPr>
          <w:p>
            <w:pPr>
              <w:snapToGrid w:val="0"/>
              <w:spacing w:after="100" w:afterAutospacing="1"/>
              <w:jc w:val="center"/>
              <w:rPr>
                <w:rFonts w:hint="eastAsia" w:ascii="宋体" w:hAnsi="宋体" w:cs="宋体"/>
                <w:sz w:val="24"/>
              </w:rPr>
            </w:pPr>
            <w:r>
              <w:rPr>
                <w:rFonts w:hint="eastAsia" w:ascii="宋体" w:hAnsi="宋体" w:cs="宋体"/>
                <w:sz w:val="24"/>
              </w:rPr>
              <w:t>系统功能</w:t>
            </w:r>
          </w:p>
        </w:tc>
      </w:tr>
      <w:tr>
        <w:tblPrEx>
          <w:tblCellMar>
            <w:top w:w="0" w:type="dxa"/>
            <w:left w:w="108" w:type="dxa"/>
            <w:bottom w:w="0" w:type="dxa"/>
            <w:right w:w="108" w:type="dxa"/>
          </w:tblCellMar>
        </w:tblPrEx>
        <w:trPr>
          <w:trHeight w:val="20" w:hRule="atLeast"/>
        </w:trPr>
        <w:tc>
          <w:tcPr>
            <w:tcW w:w="799" w:type="dxa"/>
            <w:vMerge w:val="restart"/>
            <w:tcBorders>
              <w:top w:val="single" w:color="auto" w:sz="4" w:space="0"/>
              <w:left w:val="single" w:color="auto" w:sz="8" w:space="0"/>
              <w:right w:val="single" w:color="auto" w:sz="8" w:space="0"/>
            </w:tcBorders>
            <w:vAlign w:val="center"/>
          </w:tcPr>
          <w:p>
            <w:pPr>
              <w:widowControl/>
              <w:snapToGrid w:val="0"/>
              <w:spacing w:after="100" w:afterAutospacing="1"/>
              <w:jc w:val="center"/>
              <w:rPr>
                <w:rFonts w:hint="eastAsia" w:ascii="宋体" w:hAnsi="宋体" w:cs="宋体"/>
                <w:kern w:val="0"/>
                <w:sz w:val="24"/>
              </w:rPr>
            </w:pPr>
            <w:r>
              <w:rPr>
                <w:rFonts w:hint="eastAsia" w:ascii="宋体" w:hAnsi="宋体" w:cs="宋体"/>
                <w:kern w:val="0"/>
                <w:sz w:val="24"/>
              </w:rPr>
              <w:t>1</w:t>
            </w:r>
          </w:p>
        </w:tc>
        <w:tc>
          <w:tcPr>
            <w:tcW w:w="3176" w:type="dxa"/>
            <w:vMerge w:val="restart"/>
            <w:tcBorders>
              <w:top w:val="single" w:color="auto" w:sz="4" w:space="0"/>
              <w:left w:val="nil"/>
              <w:right w:val="single" w:color="auto" w:sz="8" w:space="0"/>
            </w:tcBorders>
            <w:vAlign w:val="center"/>
          </w:tcPr>
          <w:p>
            <w:pPr>
              <w:spacing w:line="360" w:lineRule="auto"/>
              <w:rPr>
                <w:rFonts w:hint="eastAsia" w:ascii="宋体" w:hAnsi="宋体" w:cs="宋体"/>
                <w:kern w:val="0"/>
                <w:sz w:val="24"/>
              </w:rPr>
            </w:pPr>
            <w:bookmarkStart w:id="0" w:name="OLE_LINK1"/>
            <w:r>
              <w:rPr>
                <w:rFonts w:hint="eastAsia" w:ascii="宋体" w:hAnsi="宋体" w:cs="宋体"/>
                <w:kern w:val="0"/>
                <w:sz w:val="24"/>
              </w:rPr>
              <w:t>机打死亡证升级改造与天津市居民全死因信息系统</w:t>
            </w:r>
            <w:r>
              <w:rPr>
                <w:rFonts w:hint="eastAsia" w:asciiTheme="minorEastAsia" w:hAnsiTheme="minorEastAsia" w:eastAsiaTheme="minorEastAsia" w:cstheme="minorEastAsia"/>
                <w:kern w:val="0"/>
                <w:sz w:val="24"/>
              </w:rPr>
              <w:t>对接</w:t>
            </w:r>
            <w:bookmarkEnd w:id="0"/>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机打死亡证明系统功能改造</w:t>
            </w:r>
          </w:p>
        </w:tc>
      </w:tr>
      <w:tr>
        <w:tblPrEx>
          <w:tblCellMar>
            <w:top w:w="0" w:type="dxa"/>
            <w:left w:w="108" w:type="dxa"/>
            <w:bottom w:w="0" w:type="dxa"/>
            <w:right w:w="108" w:type="dxa"/>
          </w:tblCellMar>
        </w:tblPrEx>
        <w:trPr>
          <w:trHeight w:val="20" w:hRule="atLeast"/>
        </w:trPr>
        <w:tc>
          <w:tcPr>
            <w:tcW w:w="799" w:type="dxa"/>
            <w:vMerge w:val="continue"/>
            <w:tcBorders>
              <w:left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3176" w:type="dxa"/>
            <w:vMerge w:val="continue"/>
            <w:tcBorders>
              <w:left w:val="nil"/>
              <w:right w:val="single" w:color="auto" w:sz="8" w:space="0"/>
            </w:tcBorders>
          </w:tcPr>
          <w:p>
            <w:pPr>
              <w:widowControl/>
              <w:snapToGrid w:val="0"/>
              <w:spacing w:after="100" w:afterAutospacing="1"/>
              <w:jc w:val="center"/>
              <w:rPr>
                <w:rFonts w:hint="eastAsia" w:ascii="宋体" w:hAnsi="宋体" w:cs="宋体"/>
                <w:kern w:val="0"/>
                <w:sz w:val="24"/>
              </w:rPr>
            </w:pPr>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死亡数据上报功能</w:t>
            </w:r>
          </w:p>
        </w:tc>
      </w:tr>
      <w:tr>
        <w:tblPrEx>
          <w:tblCellMar>
            <w:top w:w="0" w:type="dxa"/>
            <w:left w:w="108" w:type="dxa"/>
            <w:bottom w:w="0" w:type="dxa"/>
            <w:right w:w="108" w:type="dxa"/>
          </w:tblCellMar>
        </w:tblPrEx>
        <w:trPr>
          <w:trHeight w:val="20" w:hRule="atLeast"/>
        </w:trPr>
        <w:tc>
          <w:tcPr>
            <w:tcW w:w="799" w:type="dxa"/>
            <w:vMerge w:val="continue"/>
            <w:tcBorders>
              <w:left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3176" w:type="dxa"/>
            <w:vMerge w:val="continue"/>
            <w:tcBorders>
              <w:left w:val="nil"/>
              <w:right w:val="single" w:color="auto" w:sz="8" w:space="0"/>
            </w:tcBorders>
          </w:tcPr>
          <w:p>
            <w:pPr>
              <w:widowControl/>
              <w:snapToGrid w:val="0"/>
              <w:spacing w:after="100" w:afterAutospacing="1"/>
              <w:jc w:val="center"/>
              <w:rPr>
                <w:rFonts w:hint="eastAsia" w:ascii="宋体" w:hAnsi="宋体" w:cs="宋体"/>
                <w:kern w:val="0"/>
                <w:sz w:val="24"/>
              </w:rPr>
            </w:pPr>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死亡数据上报统计功能</w:t>
            </w:r>
          </w:p>
        </w:tc>
      </w:tr>
      <w:tr>
        <w:tblPrEx>
          <w:tblCellMar>
            <w:top w:w="0" w:type="dxa"/>
            <w:left w:w="108" w:type="dxa"/>
            <w:bottom w:w="0" w:type="dxa"/>
            <w:right w:w="108" w:type="dxa"/>
          </w:tblCellMar>
        </w:tblPrEx>
        <w:trPr>
          <w:trHeight w:val="20" w:hRule="atLeast"/>
        </w:trPr>
        <w:tc>
          <w:tcPr>
            <w:tcW w:w="799" w:type="dxa"/>
            <w:vMerge w:val="continue"/>
            <w:tcBorders>
              <w:left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3176" w:type="dxa"/>
            <w:vMerge w:val="continue"/>
            <w:tcBorders>
              <w:left w:val="nil"/>
              <w:right w:val="single" w:color="auto" w:sz="8" w:space="0"/>
            </w:tcBorders>
          </w:tcPr>
          <w:p>
            <w:pPr>
              <w:widowControl/>
              <w:snapToGrid w:val="0"/>
              <w:spacing w:after="100" w:afterAutospacing="1"/>
              <w:jc w:val="center"/>
              <w:rPr>
                <w:rFonts w:hint="eastAsia" w:ascii="宋体" w:hAnsi="宋体" w:cs="宋体"/>
                <w:kern w:val="0"/>
                <w:sz w:val="24"/>
              </w:rPr>
            </w:pPr>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个人基本信息接口封装及调用</w:t>
            </w:r>
          </w:p>
        </w:tc>
      </w:tr>
      <w:tr>
        <w:tblPrEx>
          <w:tblCellMar>
            <w:top w:w="0" w:type="dxa"/>
            <w:left w:w="108" w:type="dxa"/>
            <w:bottom w:w="0" w:type="dxa"/>
            <w:right w:w="108" w:type="dxa"/>
          </w:tblCellMar>
        </w:tblPrEx>
        <w:trPr>
          <w:trHeight w:val="20" w:hRule="atLeast"/>
        </w:trPr>
        <w:tc>
          <w:tcPr>
            <w:tcW w:w="799" w:type="dxa"/>
            <w:vMerge w:val="continue"/>
            <w:tcBorders>
              <w:left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3176" w:type="dxa"/>
            <w:vMerge w:val="continue"/>
            <w:tcBorders>
              <w:left w:val="nil"/>
              <w:right w:val="single" w:color="auto" w:sz="8" w:space="0"/>
            </w:tcBorders>
          </w:tcPr>
          <w:p>
            <w:pPr>
              <w:widowControl/>
              <w:snapToGrid w:val="0"/>
              <w:spacing w:after="100" w:afterAutospacing="1"/>
              <w:jc w:val="center"/>
              <w:rPr>
                <w:rFonts w:hint="eastAsia" w:ascii="宋体" w:hAnsi="宋体" w:cs="宋体"/>
                <w:kern w:val="0"/>
                <w:sz w:val="24"/>
              </w:rPr>
            </w:pPr>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死亡登记信息接口封装及调用</w:t>
            </w:r>
          </w:p>
        </w:tc>
      </w:tr>
      <w:tr>
        <w:tblPrEx>
          <w:tblCellMar>
            <w:top w:w="0" w:type="dxa"/>
            <w:left w:w="108" w:type="dxa"/>
            <w:bottom w:w="0" w:type="dxa"/>
            <w:right w:w="108" w:type="dxa"/>
          </w:tblCellMar>
        </w:tblPrEx>
        <w:trPr>
          <w:trHeight w:val="20" w:hRule="atLeast"/>
        </w:trPr>
        <w:tc>
          <w:tcPr>
            <w:tcW w:w="799" w:type="dxa"/>
            <w:vMerge w:val="continue"/>
            <w:tcBorders>
              <w:left w:val="single" w:color="auto" w:sz="8" w:space="0"/>
              <w:bottom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3176" w:type="dxa"/>
            <w:vMerge w:val="continue"/>
            <w:tcBorders>
              <w:left w:val="nil"/>
              <w:bottom w:val="single" w:color="auto" w:sz="8" w:space="0"/>
              <w:right w:val="single" w:color="auto" w:sz="8" w:space="0"/>
            </w:tcBorders>
          </w:tcPr>
          <w:p>
            <w:pPr>
              <w:widowControl/>
              <w:snapToGrid w:val="0"/>
              <w:spacing w:after="100" w:afterAutospacing="1"/>
              <w:jc w:val="center"/>
              <w:rPr>
                <w:rFonts w:hint="eastAsia" w:ascii="宋体" w:hAnsi="宋体" w:cs="宋体"/>
                <w:kern w:val="0"/>
                <w:sz w:val="24"/>
              </w:rPr>
            </w:pPr>
          </w:p>
        </w:tc>
        <w:tc>
          <w:tcPr>
            <w:tcW w:w="4663" w:type="dxa"/>
            <w:tcBorders>
              <w:top w:val="single" w:color="auto" w:sz="4" w:space="0"/>
              <w:left w:val="nil"/>
              <w:bottom w:val="single" w:color="auto" w:sz="8" w:space="0"/>
              <w:right w:val="single" w:color="auto" w:sz="8" w:space="0"/>
            </w:tcBorders>
          </w:tcPr>
          <w:p>
            <w:pPr>
              <w:snapToGrid w:val="0"/>
              <w:spacing w:after="100" w:afterAutospacing="1"/>
              <w:jc w:val="left"/>
              <w:rPr>
                <w:rFonts w:hint="eastAsia" w:ascii="宋体" w:hAnsi="宋体" w:cs="宋体"/>
                <w:sz w:val="24"/>
              </w:rPr>
            </w:pPr>
            <w:r>
              <w:rPr>
                <w:rFonts w:hint="eastAsia" w:ascii="宋体" w:hAnsi="宋体" w:cs="宋体"/>
                <w:sz w:val="24"/>
              </w:rPr>
              <w:t>基础字典数据改造</w:t>
            </w:r>
          </w:p>
        </w:tc>
      </w:tr>
    </w:tbl>
    <w:p>
      <w:pPr>
        <w:rPr>
          <w:rFonts w:hint="eastAsia" w:ascii="宋体" w:hAnsi="宋体" w:cs="宋体"/>
          <w:sz w:val="24"/>
        </w:rPr>
      </w:pPr>
    </w:p>
    <w:p>
      <w:pPr>
        <w:widowControl/>
        <w:spacing w:line="360" w:lineRule="auto"/>
        <w:ind w:left="661" w:leftChars="200" w:hanging="241" w:hangingChars="100"/>
        <w:jc w:val="left"/>
        <w:rPr>
          <w:rFonts w:hint="eastAsia" w:ascii="宋体" w:hAnsi="宋体" w:cs="宋体"/>
          <w:kern w:val="0"/>
          <w:sz w:val="24"/>
          <w:lang w:bidi="ar"/>
        </w:rPr>
      </w:pPr>
      <w:r>
        <w:rPr>
          <w:rFonts w:hint="eastAsia" w:ascii="宋体" w:hAnsi="宋体" w:cs="宋体"/>
          <w:b/>
          <w:kern w:val="0"/>
          <w:sz w:val="24"/>
          <w:lang w:bidi="ar"/>
        </w:rPr>
        <w:t>1.运维服务</w:t>
      </w:r>
      <w:r>
        <w:rPr>
          <w:rFonts w:hint="eastAsia" w:ascii="宋体" w:hAnsi="宋体" w:cs="宋体"/>
          <w:kern w:val="0"/>
          <w:sz w:val="24"/>
          <w:lang w:bidi="ar"/>
        </w:rPr>
        <w:t>：</w:t>
      </w:r>
    </w:p>
    <w:p>
      <w:pPr>
        <w:widowControl/>
        <w:spacing w:line="360" w:lineRule="auto"/>
        <w:ind w:left="661" w:leftChars="200" w:hanging="241" w:hangingChars="100"/>
        <w:jc w:val="left"/>
        <w:rPr>
          <w:rFonts w:hint="eastAsia" w:ascii="宋体" w:hAnsi="宋体" w:cs="宋体"/>
          <w:b/>
          <w:kern w:val="0"/>
          <w:sz w:val="24"/>
          <w:lang w:bidi="ar"/>
        </w:rPr>
      </w:pPr>
      <w:r>
        <w:rPr>
          <w:rFonts w:hint="eastAsia" w:ascii="宋体" w:hAnsi="宋体" w:cs="宋体"/>
          <w:b/>
          <w:sz w:val="24"/>
        </w:rPr>
        <w:t>（1）业务要求：</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保障机</w:t>
      </w:r>
      <w:bookmarkStart w:id="1" w:name="OLE_LINK3"/>
      <w:r>
        <w:rPr>
          <w:rFonts w:hint="eastAsia" w:ascii="宋体" w:hAnsi="宋体" w:cs="宋体"/>
          <w:kern w:val="0"/>
          <w:sz w:val="24"/>
          <w:lang w:bidi="ar"/>
        </w:rPr>
        <w:t>打死亡证及数据上报业务</w:t>
      </w:r>
      <w:bookmarkEnd w:id="1"/>
      <w:r>
        <w:rPr>
          <w:rFonts w:hint="eastAsia" w:ascii="宋体" w:hAnsi="宋体" w:cs="宋体"/>
          <w:kern w:val="0"/>
          <w:sz w:val="24"/>
          <w:lang w:bidi="ar"/>
        </w:rPr>
        <w:t>安全平稳运行;</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保障机打死亡证及数据上报功能数据库系统能够正常运转</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对院方反映的问题及时跟进，快速处理;</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整理需求文档，对院方提出的需求及时反馈并跟进开发进度;</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对有需要的院方工作人员进行技术培训、指导；</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做好医院相关内容的保密性工作；</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与院内各科室协调工作，为提高工作效率，提出合理化建议，为院内高效工作提供保障；</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新增功能模块的需求调研、文档制作、开发跟踪、培训、实施；</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配合第三方公司进行接口开发及软件维护；</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根据经营及管理科室统计需要，提供各类报表；</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配合院方完成各项指标检查；</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定期对医院机打死亡证及数据上报功能进行升级，降低日常更新程序时出错概率；</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定期对信息科人员进行技术及程序功能培训；</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软件系统应急预案制定；</w:t>
      </w:r>
    </w:p>
    <w:p>
      <w:pPr>
        <w:widowControl/>
        <w:numPr>
          <w:ilvl w:val="0"/>
          <w:numId w:val="1"/>
        </w:numPr>
        <w:spacing w:line="360" w:lineRule="auto"/>
        <w:jc w:val="left"/>
        <w:rPr>
          <w:rFonts w:hint="eastAsia" w:ascii="宋体" w:hAnsi="宋体" w:cs="宋体"/>
          <w:kern w:val="0"/>
          <w:sz w:val="24"/>
          <w:lang w:bidi="ar"/>
        </w:rPr>
      </w:pPr>
      <w:r>
        <w:rPr>
          <w:rFonts w:hint="eastAsia" w:ascii="宋体" w:hAnsi="宋体" w:cs="宋体"/>
          <w:kern w:val="0"/>
          <w:sz w:val="24"/>
          <w:lang w:bidi="ar"/>
        </w:rPr>
        <w:t>配合医院完成各类评审。</w:t>
      </w:r>
    </w:p>
    <w:p>
      <w:pPr>
        <w:widowControl/>
        <w:spacing w:line="360" w:lineRule="auto"/>
        <w:ind w:firstLine="482"/>
        <w:jc w:val="left"/>
        <w:rPr>
          <w:rFonts w:hint="eastAsia" w:ascii="宋体" w:hAnsi="宋体" w:cs="宋体"/>
          <w:b/>
          <w:kern w:val="0"/>
          <w:sz w:val="24"/>
          <w:lang w:bidi="ar"/>
        </w:rPr>
      </w:pPr>
      <w:r>
        <w:rPr>
          <w:rFonts w:hint="eastAsia" w:ascii="宋体" w:hAnsi="宋体" w:cs="宋体"/>
          <w:b/>
          <w:kern w:val="0"/>
          <w:sz w:val="24"/>
          <w:lang w:bidi="ar"/>
        </w:rPr>
        <w:t>（2）服务要求：</w:t>
      </w:r>
    </w:p>
    <w:p>
      <w:pPr>
        <w:widowControl/>
        <w:numPr>
          <w:ilvl w:val="0"/>
          <w:numId w:val="2"/>
        </w:numPr>
        <w:spacing w:line="360" w:lineRule="auto"/>
        <w:jc w:val="left"/>
        <w:rPr>
          <w:rFonts w:hint="eastAsia" w:ascii="宋体" w:hAnsi="宋体" w:cs="宋体"/>
          <w:b/>
          <w:kern w:val="0"/>
          <w:sz w:val="24"/>
          <w:lang w:bidi="ar"/>
        </w:rPr>
      </w:pPr>
      <w:r>
        <w:rPr>
          <w:rFonts w:hint="eastAsia" w:ascii="宋体" w:hAnsi="宋体" w:cs="宋体"/>
          <w:kern w:val="0"/>
          <w:sz w:val="24"/>
          <w:lang w:bidi="ar"/>
        </w:rPr>
        <w:t>严格执行医院各项规章制度，落实医院网络安全、生产安全、消防安全等重点工作，杜绝出现各类安全事故发生；</w:t>
      </w:r>
    </w:p>
    <w:p>
      <w:pPr>
        <w:widowControl/>
        <w:numPr>
          <w:ilvl w:val="0"/>
          <w:numId w:val="2"/>
        </w:numPr>
        <w:spacing w:line="360" w:lineRule="auto"/>
        <w:jc w:val="left"/>
        <w:rPr>
          <w:rFonts w:hint="eastAsia" w:ascii="宋体" w:hAnsi="宋体" w:cs="宋体"/>
          <w:kern w:val="0"/>
          <w:sz w:val="24"/>
          <w:lang w:bidi="ar"/>
        </w:rPr>
      </w:pPr>
      <w:r>
        <w:rPr>
          <w:rFonts w:hint="eastAsia" w:ascii="宋体" w:hAnsi="宋体" w:cs="宋体"/>
          <w:kern w:val="0"/>
          <w:sz w:val="24"/>
          <w:lang w:bidi="ar"/>
        </w:rPr>
        <w:t>遵守劳动纪律，按时出勤，因事请假需提前向院方报备，并做好相关人员安排，严禁出现空岗情况发生；</w:t>
      </w:r>
    </w:p>
    <w:p>
      <w:pPr>
        <w:widowControl/>
        <w:numPr>
          <w:ilvl w:val="0"/>
          <w:numId w:val="2"/>
        </w:numPr>
        <w:spacing w:line="360" w:lineRule="auto"/>
        <w:jc w:val="left"/>
        <w:rPr>
          <w:rFonts w:hint="eastAsia" w:ascii="宋体" w:hAnsi="宋体" w:cs="宋体"/>
          <w:kern w:val="0"/>
          <w:sz w:val="24"/>
          <w:lang w:bidi="ar"/>
        </w:rPr>
      </w:pPr>
      <w:r>
        <w:rPr>
          <w:rFonts w:hint="eastAsia" w:ascii="宋体" w:hAnsi="宋体" w:cs="宋体"/>
          <w:kern w:val="0"/>
          <w:sz w:val="24"/>
          <w:lang w:bidi="ar"/>
        </w:rPr>
        <w:t>保证服务态度，提高服务效率，避免出现院内外投诉事件发生；</w:t>
      </w:r>
    </w:p>
    <w:p>
      <w:pPr>
        <w:widowControl/>
        <w:numPr>
          <w:ilvl w:val="0"/>
          <w:numId w:val="2"/>
        </w:numPr>
        <w:spacing w:line="360" w:lineRule="auto"/>
        <w:jc w:val="left"/>
        <w:rPr>
          <w:rFonts w:hint="eastAsia" w:ascii="宋体" w:hAnsi="宋体" w:cs="宋体"/>
          <w:kern w:val="0"/>
          <w:sz w:val="24"/>
          <w:lang w:bidi="ar"/>
        </w:rPr>
      </w:pPr>
      <w:r>
        <w:rPr>
          <w:rFonts w:hint="eastAsia" w:ascii="宋体" w:hAnsi="宋体" w:cs="宋体"/>
          <w:kern w:val="0"/>
          <w:sz w:val="24"/>
          <w:lang w:bidi="ar"/>
        </w:rPr>
        <w:t>保障数据安全及患者信息隐私，对医院重要数据做到严格保密，如导致院方数据泄露造成严重后果的将追究相应责任；</w:t>
      </w:r>
    </w:p>
    <w:p>
      <w:pPr>
        <w:widowControl/>
        <w:numPr>
          <w:ilvl w:val="0"/>
          <w:numId w:val="2"/>
        </w:numPr>
        <w:spacing w:line="360" w:lineRule="auto"/>
        <w:jc w:val="left"/>
        <w:rPr>
          <w:rFonts w:hint="eastAsia" w:ascii="宋体" w:hAnsi="宋体" w:cs="宋体"/>
          <w:kern w:val="0"/>
          <w:sz w:val="24"/>
          <w:lang w:bidi="ar"/>
        </w:rPr>
      </w:pPr>
      <w:r>
        <w:rPr>
          <w:rFonts w:hint="eastAsia" w:ascii="宋体" w:hAnsi="宋体" w:cs="宋体"/>
          <w:kern w:val="0"/>
          <w:sz w:val="24"/>
          <w:lang w:bidi="ar"/>
        </w:rPr>
        <w:t>对不符合业务能力，或多次违反服务要求的人员，院方有权要求运维服务商进行驻场人员更换。</w:t>
      </w:r>
    </w:p>
    <w:p>
      <w:pPr>
        <w:widowControl/>
        <w:ind w:firstLine="480"/>
        <w:jc w:val="left"/>
        <w:rPr>
          <w:rFonts w:hint="eastAsia" w:ascii="宋体" w:hAnsi="宋体" w:cs="宋体"/>
          <w:kern w:val="0"/>
          <w:sz w:val="24"/>
          <w:lang w:bidi="ar"/>
        </w:rPr>
      </w:pPr>
    </w:p>
    <w:p>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2.</w:t>
      </w:r>
      <w:r>
        <w:rPr>
          <w:rFonts w:hint="eastAsia" w:ascii="宋体" w:hAnsi="宋体" w:cs="宋体"/>
          <w:b/>
          <w:kern w:val="0"/>
          <w:sz w:val="24"/>
          <w:lang w:bidi="ar"/>
        </w:rPr>
        <w:t>热线服务</w:t>
      </w:r>
      <w:r>
        <w:rPr>
          <w:rFonts w:hint="eastAsia" w:ascii="宋体" w:hAnsi="宋体" w:cs="宋体"/>
          <w:kern w:val="0"/>
          <w:sz w:val="24"/>
          <w:lang w:bidi="ar"/>
        </w:rPr>
        <w:t>：7×24小时电话技术支持</w:t>
      </w:r>
    </w:p>
    <w:p>
      <w:pPr>
        <w:widowControl/>
        <w:spacing w:line="360" w:lineRule="auto"/>
        <w:ind w:firstLine="480"/>
        <w:jc w:val="left"/>
        <w:rPr>
          <w:rFonts w:hint="eastAsia" w:ascii="宋体" w:hAnsi="宋体" w:cs="宋体"/>
          <w:kern w:val="0"/>
          <w:sz w:val="24"/>
          <w:lang w:bidi="ar"/>
        </w:rPr>
      </w:pPr>
      <w:r>
        <w:rPr>
          <w:rFonts w:hint="eastAsia" w:ascii="宋体" w:hAnsi="宋体" w:cs="宋体"/>
          <w:kern w:val="0"/>
          <w:sz w:val="24"/>
          <w:lang w:bidi="ar"/>
        </w:rPr>
        <w:t xml:space="preserve">运维服务商设立7*24小时的值班响应电话，并安排有经验的工程师接受申告。当系统出现故障时，通过运维服务商指定的值班响应电话进行故障报修或技术咨询。运维服务商应保证服务时间内，呼叫接通时间小于30秒；当运维服务商需要查阅相关资料再对采购人的问题进行回复及解决时，应确保在0.5小时内回复解决，0.5小时内故障未修复则升级为快速上门服务。快速上门服务要求乙方应于及时到甲方现场，确保于接到甲方电话或短信通知后【1】小时内完成相应维护服务。 </w:t>
      </w:r>
    </w:p>
    <w:p>
      <w:pPr>
        <w:widowControl/>
        <w:numPr>
          <w:ilvl w:val="0"/>
          <w:numId w:val="3"/>
        </w:numPr>
        <w:spacing w:line="360" w:lineRule="auto"/>
        <w:jc w:val="left"/>
        <w:rPr>
          <w:rFonts w:hint="eastAsia" w:ascii="宋体" w:hAnsi="宋体" w:cs="宋体"/>
          <w:kern w:val="0"/>
          <w:sz w:val="24"/>
          <w:lang w:bidi="ar"/>
        </w:rPr>
      </w:pPr>
      <w:r>
        <w:rPr>
          <w:rFonts w:hint="eastAsia" w:ascii="宋体" w:hAnsi="宋体" w:cs="宋体"/>
          <w:b/>
          <w:kern w:val="0"/>
          <w:sz w:val="24"/>
          <w:lang w:bidi="ar"/>
        </w:rPr>
        <w:t>巡检服务</w:t>
      </w:r>
      <w:r>
        <w:rPr>
          <w:rFonts w:hint="eastAsia" w:ascii="宋体" w:hAnsi="宋体" w:cs="宋体"/>
          <w:kern w:val="0"/>
          <w:sz w:val="24"/>
          <w:lang w:bidi="ar"/>
        </w:rPr>
        <w:t>：</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根据运维客户等级参数而定（详见《客户等级参数》），提供巡检服务，全面保障系统持续稳定运行。</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巡检内容:</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（1）服务器检查：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1).系统日志检查；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2).磁盘空间检查；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3).杀毒软件检查；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4).性能使用情况检查；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5).IIS日志检查；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6).应用程序池设置合理性检查；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7).应用服务文件规范检查；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（2）数据库检查：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1).日志检查；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2).作业检查；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3).接口检查；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4).存储过程检查；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5).备份及空间检查；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6).系统业务表检查；</w:t>
      </w:r>
    </w:p>
    <w:p>
      <w:pPr>
        <w:widowControl/>
        <w:numPr>
          <w:ilvl w:val="255"/>
          <w:numId w:val="0"/>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 xml:space="preserve">   7).性能检查；</w:t>
      </w:r>
    </w:p>
    <w:p>
      <w:pPr>
        <w:widowControl/>
        <w:numPr>
          <w:ilvl w:val="255"/>
          <w:numId w:val="0"/>
        </w:numPr>
        <w:spacing w:line="360" w:lineRule="auto"/>
        <w:jc w:val="left"/>
        <w:rPr>
          <w:rFonts w:hint="eastAsia" w:ascii="宋体" w:hAnsi="宋体" w:cs="宋体"/>
          <w:kern w:val="0"/>
          <w:sz w:val="24"/>
          <w:lang w:bidi="ar"/>
        </w:rPr>
      </w:pPr>
      <w:r>
        <w:rPr>
          <w:rFonts w:hint="eastAsia" w:ascii="宋体" w:hAnsi="宋体" w:cs="宋体"/>
          <w:b/>
          <w:kern w:val="0"/>
          <w:sz w:val="24"/>
          <w:lang w:bidi="ar"/>
        </w:rPr>
        <w:t>4.工作汇总</w:t>
      </w:r>
      <w:r>
        <w:rPr>
          <w:rFonts w:hint="eastAsia" w:ascii="宋体" w:hAnsi="宋体" w:cs="宋体"/>
          <w:kern w:val="0"/>
          <w:sz w:val="24"/>
          <w:lang w:bidi="ar"/>
        </w:rPr>
        <w:t>:要求对新增普通事件、重大事件和事件处理情况、遗留问题，本月工作完成情况和下月工作计划一并整理汇总，形成服务月报。</w:t>
      </w:r>
    </w:p>
    <w:p>
      <w:pPr>
        <w:widowControl/>
        <w:spacing w:line="360" w:lineRule="auto"/>
        <w:jc w:val="left"/>
        <w:rPr>
          <w:rFonts w:hint="eastAsia" w:ascii="宋体" w:hAnsi="宋体" w:cs="宋体"/>
          <w:kern w:val="0"/>
          <w:sz w:val="24"/>
          <w:lang w:bidi="ar"/>
        </w:rPr>
      </w:pPr>
      <w:r>
        <w:rPr>
          <w:rFonts w:hint="eastAsia" w:ascii="宋体" w:hAnsi="宋体" w:cs="宋体"/>
          <w:b/>
          <w:kern w:val="0"/>
          <w:sz w:val="24"/>
          <w:lang w:bidi="ar"/>
        </w:rPr>
        <w:t>5.按需响应</w:t>
      </w:r>
      <w:r>
        <w:rPr>
          <w:rFonts w:hint="eastAsia" w:ascii="宋体" w:hAnsi="宋体" w:cs="宋体"/>
          <w:b/>
          <w:bCs/>
          <w:kern w:val="0"/>
          <w:sz w:val="24"/>
          <w:lang w:bidi="ar"/>
        </w:rPr>
        <w:t xml:space="preserve">: </w:t>
      </w:r>
      <w:r>
        <w:rPr>
          <w:rFonts w:hint="eastAsia" w:ascii="宋体" w:hAnsi="宋体" w:cs="宋体"/>
          <w:kern w:val="0"/>
          <w:sz w:val="24"/>
          <w:lang w:bidi="ar"/>
        </w:rPr>
        <w:t>根据工作需要提供项目工程师，项目助理，项目经理等基于短期项目的系统规划、项目实施，故障处理、性能调优等服务。</w:t>
      </w:r>
    </w:p>
    <w:p>
      <w:pPr>
        <w:widowControl/>
        <w:spacing w:line="360" w:lineRule="auto"/>
        <w:jc w:val="left"/>
        <w:rPr>
          <w:rFonts w:hint="eastAsia" w:ascii="宋体" w:hAnsi="宋体" w:cs="宋体"/>
          <w:kern w:val="0"/>
          <w:sz w:val="24"/>
          <w:lang w:bidi="ar"/>
        </w:rPr>
      </w:pPr>
      <w:r>
        <w:rPr>
          <w:rFonts w:hint="eastAsia" w:ascii="宋体" w:hAnsi="宋体" w:cs="宋体"/>
          <w:b/>
          <w:kern w:val="0"/>
          <w:sz w:val="24"/>
          <w:lang w:bidi="ar"/>
        </w:rPr>
        <w:t>6.服务原则</w:t>
      </w:r>
      <w:r>
        <w:rPr>
          <w:rFonts w:hint="eastAsia" w:ascii="宋体" w:hAnsi="宋体" w:cs="宋体"/>
          <w:kern w:val="0"/>
          <w:sz w:val="24"/>
          <w:lang w:bidi="ar"/>
        </w:rPr>
        <w:t>:故障处理以先恢复业务运行，再查找问题原因为原则。</w:t>
      </w:r>
    </w:p>
    <w:p>
      <w:pPr>
        <w:widowControl/>
        <w:spacing w:line="360" w:lineRule="auto"/>
        <w:jc w:val="left"/>
        <w:rPr>
          <w:rFonts w:hint="eastAsia" w:ascii="宋体" w:hAnsi="宋体" w:cs="宋体"/>
          <w:kern w:val="0"/>
          <w:sz w:val="24"/>
          <w:lang w:bidi="ar"/>
        </w:rPr>
      </w:pPr>
      <w:r>
        <w:rPr>
          <w:rFonts w:hint="eastAsia" w:ascii="宋体" w:hAnsi="宋体" w:cs="宋体"/>
          <w:b/>
          <w:bCs/>
          <w:kern w:val="0"/>
          <w:sz w:val="24"/>
          <w:lang w:bidi="ar"/>
        </w:rPr>
        <w:t>7.跨年维护服务</w:t>
      </w:r>
      <w:r>
        <w:rPr>
          <w:rFonts w:hint="eastAsia" w:ascii="宋体" w:hAnsi="宋体" w:cs="宋体"/>
          <w:kern w:val="0"/>
          <w:sz w:val="24"/>
          <w:lang w:bidi="ar"/>
        </w:rPr>
        <w:t>：提供经验丰富的技术工程师，到场保证系统跨年正常运行，具体内容如下：</w:t>
      </w:r>
    </w:p>
    <w:p>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1.跨年维护沟通、协调、报告；</w:t>
      </w:r>
    </w:p>
    <w:p>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2.系统服务端跨年检查与设置；</w:t>
      </w:r>
    </w:p>
    <w:p>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3.数据库跨年检查与设置；</w:t>
      </w:r>
    </w:p>
    <w:p>
      <w:r>
        <w:rPr>
          <w:rFonts w:hint="eastAsia" w:ascii="宋体" w:hAnsi="宋体" w:cs="宋体"/>
          <w:kern w:val="0"/>
          <w:sz w:val="24"/>
          <w:lang w:bidi="ar"/>
        </w:rPr>
        <w:t>4.产品授权检查和验证；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746F"/>
    <w:multiLevelType w:val="singleLevel"/>
    <w:tmpl w:val="091D746F"/>
    <w:lvl w:ilvl="0" w:tentative="0">
      <w:start w:val="3"/>
      <w:numFmt w:val="decimal"/>
      <w:lvlText w:val="%1."/>
      <w:lvlJc w:val="left"/>
      <w:pPr>
        <w:tabs>
          <w:tab w:val="left" w:pos="312"/>
        </w:tabs>
      </w:pPr>
    </w:lvl>
  </w:abstractNum>
  <w:abstractNum w:abstractNumId="1">
    <w:nsid w:val="4246341E"/>
    <w:multiLevelType w:val="multilevel"/>
    <w:tmpl w:val="4246341E"/>
    <w:lvl w:ilvl="0" w:tentative="0">
      <w:start w:val="1"/>
      <w:numFmt w:val="decimal"/>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9FB11F7"/>
    <w:multiLevelType w:val="multilevel"/>
    <w:tmpl w:val="69FB11F7"/>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ODFmODNmY2JhNzg2ODdiMjg0Y2JkOWIzNjgwNWIifQ=="/>
  </w:docVars>
  <w:rsids>
    <w:rsidRoot w:val="6C0309A5"/>
    <w:rsid w:val="00235E62"/>
    <w:rsid w:val="00292A26"/>
    <w:rsid w:val="00A94A07"/>
    <w:rsid w:val="00AD3B6F"/>
    <w:rsid w:val="00C53846"/>
    <w:rsid w:val="00E756D0"/>
    <w:rsid w:val="00F625A2"/>
    <w:rsid w:val="00F7622C"/>
    <w:rsid w:val="14657FE3"/>
    <w:rsid w:val="6C03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imes New Roman" w:hAnsi="Times New Roman" w:eastAsia="宋体" w:cs="Times New Roman"/>
      <w:kern w:val="2"/>
      <w:sz w:val="18"/>
      <w:szCs w:val="18"/>
    </w:rPr>
  </w:style>
  <w:style w:type="character" w:customStyle="1" w:styleId="8">
    <w:name w:val="页脚 字符"/>
    <w:basedOn w:val="6"/>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811</Words>
  <Characters>829</Characters>
  <Lines>63</Lines>
  <Paragraphs>60</Paragraphs>
  <TotalTime>0</TotalTime>
  <ScaleCrop>false</ScaleCrop>
  <LinksUpToDate>false</LinksUpToDate>
  <CharactersWithSpaces>1580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2026-04-16T13:03:00Z</dcterms:created>
  <dc:creator>Administrator</dc:creator>
  <cp:lastModifiedBy>系统管理员</cp:lastModifiedBy>
  <dcterms:modified xsi:type="dcterms:W3CDTF">2026-04-17T06:54:14Z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3FE9034E63254CDBA0F32F3C220257C4</vt:lpwstr>
  </property>
</Properties>
</file>