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3731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b/>
          <w:bCs/>
          <w:sz w:val="36"/>
          <w:szCs w:val="44"/>
        </w:rPr>
      </w:pPr>
      <w:r>
        <w:rPr>
          <w:rFonts w:hint="eastAsia"/>
          <w:b/>
          <w:bCs/>
          <w:sz w:val="36"/>
          <w:szCs w:val="44"/>
        </w:rPr>
        <w:t>天津市中西医结合医院（天津市南开医院）</w:t>
      </w:r>
    </w:p>
    <w:p w14:paraId="47C8BE2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b/>
          <w:bCs/>
          <w:sz w:val="36"/>
          <w:szCs w:val="44"/>
        </w:rPr>
      </w:pPr>
      <w:r>
        <w:rPr>
          <w:rFonts w:hint="eastAsia"/>
          <w:b/>
          <w:bCs/>
          <w:sz w:val="36"/>
          <w:szCs w:val="44"/>
          <w:lang w:val="en-US" w:eastAsia="zh-CN"/>
        </w:rPr>
        <w:t>职业健康体检服务项目</w:t>
      </w:r>
      <w:r>
        <w:rPr>
          <w:rFonts w:hint="eastAsia"/>
          <w:b/>
          <w:bCs/>
          <w:sz w:val="36"/>
          <w:szCs w:val="44"/>
        </w:rPr>
        <w:t>磋商公告</w:t>
      </w:r>
    </w:p>
    <w:p w14:paraId="477F4294">
      <w:pPr>
        <w:autoSpaceDE w:val="0"/>
        <w:autoSpaceDN w:val="0"/>
        <w:adjustRightInd w:val="0"/>
        <w:spacing w:line="420" w:lineRule="exact"/>
        <w:ind w:firstLine="480"/>
        <w:rPr>
          <w:rFonts w:hint="eastAsia"/>
        </w:rPr>
      </w:pPr>
    </w:p>
    <w:p w14:paraId="48F2CF90">
      <w:pPr>
        <w:keepNext w:val="0"/>
        <w:keepLines w:val="0"/>
        <w:pageBreakBefore w:val="0"/>
        <w:widowControl w:val="0"/>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sz w:val="28"/>
          <w:szCs w:val="28"/>
          <w:lang w:val="zh-CN"/>
        </w:rPr>
      </w:pPr>
      <w:r>
        <w:rPr>
          <w:rFonts w:hint="eastAsia" w:ascii="宋体" w:hAnsi="宋体" w:eastAsia="宋体" w:cs="宋体"/>
          <w:sz w:val="28"/>
          <w:szCs w:val="28"/>
        </w:rPr>
        <w:t>天津市中西医结合医院（天津市南开医院）将以</w:t>
      </w:r>
      <w:r>
        <w:rPr>
          <w:rFonts w:hint="eastAsia" w:ascii="宋体" w:hAnsi="宋体" w:cs="宋体"/>
          <w:sz w:val="28"/>
          <w:szCs w:val="28"/>
          <w:lang w:val="en-US" w:eastAsia="zh-CN"/>
        </w:rPr>
        <w:t>竞争性磋商</w:t>
      </w:r>
      <w:r>
        <w:rPr>
          <w:rFonts w:hint="eastAsia" w:ascii="宋体" w:hAnsi="宋体" w:eastAsia="宋体" w:cs="宋体"/>
          <w:sz w:val="28"/>
          <w:szCs w:val="28"/>
        </w:rPr>
        <w:t>方式，</w:t>
      </w:r>
      <w:r>
        <w:rPr>
          <w:rFonts w:hint="eastAsia" w:ascii="宋体" w:hAnsi="宋体" w:eastAsia="宋体" w:cs="宋体"/>
          <w:sz w:val="28"/>
          <w:szCs w:val="28"/>
          <w:lang w:val="zh-CN"/>
        </w:rPr>
        <w:t>对</w:t>
      </w:r>
      <w:r>
        <w:rPr>
          <w:rFonts w:hint="eastAsia" w:ascii="宋体" w:hAnsi="宋体" w:eastAsia="宋体" w:cs="宋体"/>
          <w:sz w:val="28"/>
          <w:szCs w:val="28"/>
        </w:rPr>
        <w:t>我院</w:t>
      </w:r>
      <w:r>
        <w:rPr>
          <w:rFonts w:hint="eastAsia" w:ascii="宋体" w:hAnsi="宋体" w:eastAsia="宋体" w:cs="宋体"/>
          <w:sz w:val="28"/>
          <w:szCs w:val="28"/>
          <w:lang w:val="en-US" w:eastAsia="zh-CN"/>
        </w:rPr>
        <w:t>职业健康体检服务项目</w:t>
      </w:r>
      <w:r>
        <w:rPr>
          <w:rFonts w:hint="eastAsia" w:ascii="宋体" w:hAnsi="宋体" w:eastAsia="宋体" w:cs="宋体"/>
          <w:sz w:val="28"/>
          <w:szCs w:val="28"/>
          <w:lang w:val="zh-CN"/>
        </w:rPr>
        <w:t>实施采购。欢迎合格的供应商前来参加磋商。</w:t>
      </w:r>
    </w:p>
    <w:p w14:paraId="06C8DF5E">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zh-CN"/>
        </w:rPr>
        <w:t>项目名称：</w:t>
      </w:r>
      <w:bookmarkStart w:id="0" w:name="_GoBack"/>
      <w:bookmarkEnd w:id="0"/>
    </w:p>
    <w:p w14:paraId="26E505D1">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268" w:firstLineChars="1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天津市中西医结合医院（天津市南开医院）</w:t>
      </w:r>
      <w:r>
        <w:rPr>
          <w:rFonts w:hint="eastAsia" w:ascii="宋体" w:hAnsi="宋体" w:eastAsia="宋体" w:cs="宋体"/>
          <w:spacing w:val="-6"/>
          <w:sz w:val="28"/>
          <w:szCs w:val="28"/>
          <w:lang w:val="en-US" w:eastAsia="zh-CN"/>
        </w:rPr>
        <w:t>职业健康体检服务项目</w:t>
      </w:r>
    </w:p>
    <w:p w14:paraId="699CEA7B">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zh-CN"/>
        </w:rPr>
        <w:t>项目编号：</w:t>
      </w:r>
      <w:r>
        <w:rPr>
          <w:rFonts w:hint="eastAsia" w:ascii="宋体" w:hAnsi="宋体" w:eastAsia="宋体" w:cs="宋体"/>
          <w:sz w:val="28"/>
          <w:szCs w:val="28"/>
          <w:lang w:val="zh-CN" w:eastAsia="zh-CN"/>
        </w:rPr>
        <w:t>TJSNKYY-2025-</w:t>
      </w:r>
      <w:r>
        <w:rPr>
          <w:rFonts w:hint="eastAsia" w:ascii="宋体" w:hAnsi="宋体" w:cs="宋体"/>
          <w:sz w:val="28"/>
          <w:szCs w:val="28"/>
          <w:lang w:val="en-US" w:eastAsia="zh-CN"/>
        </w:rPr>
        <w:t>1217</w:t>
      </w:r>
    </w:p>
    <w:p w14:paraId="4FED2154">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项目预算：</w:t>
      </w:r>
    </w:p>
    <w:tbl>
      <w:tblPr>
        <w:tblStyle w:val="4"/>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2505"/>
        <w:gridCol w:w="3719"/>
      </w:tblGrid>
      <w:tr w14:paraId="6CDB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34" w:type="dxa"/>
            <w:noWrap w:val="0"/>
            <w:vAlign w:val="center"/>
          </w:tcPr>
          <w:p w14:paraId="56414EBB">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人员类别</w:t>
            </w:r>
          </w:p>
        </w:tc>
        <w:tc>
          <w:tcPr>
            <w:tcW w:w="2505" w:type="dxa"/>
            <w:noWrap w:val="0"/>
            <w:vAlign w:val="center"/>
          </w:tcPr>
          <w:p w14:paraId="539203D3">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体检项目</w:t>
            </w:r>
          </w:p>
        </w:tc>
        <w:tc>
          <w:tcPr>
            <w:tcW w:w="3719" w:type="dxa"/>
            <w:noWrap w:val="0"/>
            <w:vAlign w:val="center"/>
          </w:tcPr>
          <w:p w14:paraId="2201D2CF">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体检费用</w:t>
            </w:r>
          </w:p>
        </w:tc>
      </w:tr>
      <w:tr w14:paraId="2E5E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334" w:type="dxa"/>
            <w:vMerge w:val="restart"/>
            <w:noWrap w:val="0"/>
            <w:vAlign w:val="center"/>
          </w:tcPr>
          <w:p w14:paraId="0985A673">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放射从业人员</w:t>
            </w:r>
          </w:p>
        </w:tc>
        <w:tc>
          <w:tcPr>
            <w:tcW w:w="2505" w:type="dxa"/>
            <w:noWrap w:val="0"/>
            <w:vAlign w:val="center"/>
          </w:tcPr>
          <w:p w14:paraId="399E9D69">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default"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岗前</w:t>
            </w:r>
          </w:p>
        </w:tc>
        <w:tc>
          <w:tcPr>
            <w:tcW w:w="3719" w:type="dxa"/>
            <w:noWrap w:val="0"/>
            <w:vAlign w:val="center"/>
          </w:tcPr>
          <w:p w14:paraId="2B0E2D49">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default"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685元/人</w:t>
            </w:r>
          </w:p>
        </w:tc>
      </w:tr>
      <w:tr w14:paraId="5345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334" w:type="dxa"/>
            <w:vMerge w:val="continue"/>
            <w:noWrap w:val="0"/>
            <w:vAlign w:val="center"/>
          </w:tcPr>
          <w:p w14:paraId="63A3167E">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p>
        </w:tc>
        <w:tc>
          <w:tcPr>
            <w:tcW w:w="2505" w:type="dxa"/>
            <w:noWrap w:val="0"/>
            <w:vAlign w:val="center"/>
          </w:tcPr>
          <w:p w14:paraId="1A25C787">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default"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岗中</w:t>
            </w:r>
          </w:p>
        </w:tc>
        <w:tc>
          <w:tcPr>
            <w:tcW w:w="3719" w:type="dxa"/>
            <w:noWrap w:val="0"/>
            <w:vAlign w:val="center"/>
          </w:tcPr>
          <w:p w14:paraId="4DBE2BC2">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default"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588元/人</w:t>
            </w:r>
          </w:p>
        </w:tc>
      </w:tr>
      <w:tr w14:paraId="2810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334" w:type="dxa"/>
            <w:vMerge w:val="continue"/>
            <w:noWrap w:val="0"/>
            <w:vAlign w:val="center"/>
          </w:tcPr>
          <w:p w14:paraId="2919D91A">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p>
        </w:tc>
        <w:tc>
          <w:tcPr>
            <w:tcW w:w="2505" w:type="dxa"/>
            <w:noWrap w:val="0"/>
            <w:vAlign w:val="center"/>
          </w:tcPr>
          <w:p w14:paraId="587FB5D0">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离岗</w:t>
            </w:r>
          </w:p>
        </w:tc>
        <w:tc>
          <w:tcPr>
            <w:tcW w:w="3719" w:type="dxa"/>
            <w:noWrap w:val="0"/>
            <w:vAlign w:val="center"/>
          </w:tcPr>
          <w:p w14:paraId="0DCAB290">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756元/人</w:t>
            </w:r>
          </w:p>
        </w:tc>
      </w:tr>
      <w:tr w14:paraId="0CFD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334" w:type="dxa"/>
            <w:vMerge w:val="restart"/>
            <w:noWrap w:val="0"/>
            <w:vAlign w:val="center"/>
          </w:tcPr>
          <w:p w14:paraId="047B7695">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病理科接触有毒有害气体人员</w:t>
            </w:r>
          </w:p>
        </w:tc>
        <w:tc>
          <w:tcPr>
            <w:tcW w:w="2505" w:type="dxa"/>
            <w:noWrap w:val="0"/>
            <w:vAlign w:val="center"/>
          </w:tcPr>
          <w:p w14:paraId="4C259CFF">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岗前</w:t>
            </w:r>
          </w:p>
        </w:tc>
        <w:tc>
          <w:tcPr>
            <w:tcW w:w="3719" w:type="dxa"/>
            <w:noWrap w:val="0"/>
            <w:vAlign w:val="center"/>
          </w:tcPr>
          <w:p w14:paraId="06793796">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302元/人</w:t>
            </w:r>
          </w:p>
        </w:tc>
      </w:tr>
      <w:tr w14:paraId="39CB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334" w:type="dxa"/>
            <w:vMerge w:val="continue"/>
            <w:noWrap w:val="0"/>
            <w:vAlign w:val="center"/>
          </w:tcPr>
          <w:p w14:paraId="56F1678F">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p>
        </w:tc>
        <w:tc>
          <w:tcPr>
            <w:tcW w:w="2505" w:type="dxa"/>
            <w:noWrap w:val="0"/>
            <w:vAlign w:val="center"/>
          </w:tcPr>
          <w:p w14:paraId="7FC3BAC5">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岗中</w:t>
            </w:r>
          </w:p>
        </w:tc>
        <w:tc>
          <w:tcPr>
            <w:tcW w:w="3719" w:type="dxa"/>
            <w:noWrap w:val="0"/>
            <w:vAlign w:val="center"/>
          </w:tcPr>
          <w:p w14:paraId="1EFD3DB6">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302元/人</w:t>
            </w:r>
          </w:p>
        </w:tc>
      </w:tr>
      <w:tr w14:paraId="6901D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334" w:type="dxa"/>
            <w:vMerge w:val="continue"/>
            <w:noWrap w:val="0"/>
            <w:vAlign w:val="center"/>
          </w:tcPr>
          <w:p w14:paraId="4D4A4B20">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p>
        </w:tc>
        <w:tc>
          <w:tcPr>
            <w:tcW w:w="2505" w:type="dxa"/>
            <w:noWrap w:val="0"/>
            <w:vAlign w:val="center"/>
          </w:tcPr>
          <w:p w14:paraId="1C34FE14">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eastAsia"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离岗</w:t>
            </w:r>
          </w:p>
        </w:tc>
        <w:tc>
          <w:tcPr>
            <w:tcW w:w="3719" w:type="dxa"/>
            <w:noWrap w:val="0"/>
            <w:vAlign w:val="center"/>
          </w:tcPr>
          <w:p w14:paraId="60AD18F2">
            <w:pPr>
              <w:pStyle w:val="2"/>
              <w:keepNext w:val="0"/>
              <w:keepLines w:val="0"/>
              <w:pageBreakBefore w:val="0"/>
              <w:numPr>
                <w:ilvl w:val="0"/>
                <w:numId w:val="0"/>
              </w:numPr>
              <w:kinsoku/>
              <w:wordWrap/>
              <w:overflowPunct/>
              <w:topLinePunct w:val="0"/>
              <w:bidi w:val="0"/>
              <w:snapToGrid/>
              <w:spacing w:before="0" w:after="0" w:line="480" w:lineRule="exact"/>
              <w:jc w:val="center"/>
              <w:textAlignment w:val="auto"/>
              <w:rPr>
                <w:rFonts w:hint="default" w:ascii="宋体" w:hAnsi="宋体" w:eastAsia="宋体" w:cs="宋体"/>
                <w:b w:val="0"/>
                <w:bCs w:val="0"/>
                <w:spacing w:val="0"/>
                <w:kern w:val="0"/>
                <w:sz w:val="24"/>
                <w:szCs w:val="24"/>
                <w:lang w:val="en-US" w:eastAsia="zh-CN" w:bidi="ar-SA"/>
              </w:rPr>
            </w:pPr>
            <w:r>
              <w:rPr>
                <w:rFonts w:hint="eastAsia" w:ascii="宋体" w:hAnsi="宋体" w:eastAsia="宋体" w:cs="宋体"/>
                <w:b w:val="0"/>
                <w:bCs w:val="0"/>
                <w:spacing w:val="0"/>
                <w:kern w:val="0"/>
                <w:sz w:val="24"/>
                <w:szCs w:val="24"/>
                <w:lang w:val="en-US" w:eastAsia="zh-CN" w:bidi="ar-SA"/>
              </w:rPr>
              <w:t>269元/人</w:t>
            </w:r>
          </w:p>
        </w:tc>
      </w:tr>
    </w:tbl>
    <w:p w14:paraId="7FA4C0EF">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zh-CN"/>
        </w:rPr>
        <w:t>供应商资质要求：</w:t>
      </w:r>
    </w:p>
    <w:p w14:paraId="5806B52E">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1.</w:t>
      </w:r>
      <w:r>
        <w:rPr>
          <w:rFonts w:hint="eastAsia" w:ascii="宋体" w:hAnsi="宋体" w:eastAsia="宋体" w:cs="宋体"/>
          <w:sz w:val="28"/>
          <w:szCs w:val="28"/>
          <w:lang w:val="zh-CN"/>
        </w:rPr>
        <w:t>具有有效期内的营业执照副本或事业单位法人证书或民办非企业单位登记证书或社会团体法人登记证书或基金会法人登记证书，</w:t>
      </w:r>
      <w:r>
        <w:rPr>
          <w:rFonts w:hint="eastAsia" w:ascii="宋体" w:hAnsi="宋体" w:eastAsia="宋体" w:cs="宋体"/>
          <w:sz w:val="28"/>
          <w:szCs w:val="28"/>
          <w:lang w:val="en-US" w:eastAsia="zh-CN"/>
        </w:rPr>
        <w:t>提供</w:t>
      </w:r>
      <w:r>
        <w:rPr>
          <w:rFonts w:hint="eastAsia" w:ascii="宋体" w:hAnsi="宋体" w:eastAsia="宋体" w:cs="宋体"/>
          <w:sz w:val="28"/>
          <w:szCs w:val="28"/>
          <w:lang w:val="zh-CN"/>
        </w:rPr>
        <w:t>复印件加盖公章。</w:t>
      </w:r>
    </w:p>
    <w:p w14:paraId="51C60FCC">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2.</w:t>
      </w:r>
      <w:r>
        <w:rPr>
          <w:rFonts w:hint="eastAsia" w:ascii="宋体" w:hAnsi="宋体" w:eastAsia="宋体" w:cs="宋体"/>
          <w:sz w:val="28"/>
          <w:szCs w:val="28"/>
          <w:lang w:val="zh-CN"/>
        </w:rPr>
        <w:t>须提供经会计师事务所审计的</w:t>
      </w:r>
      <w:r>
        <w:rPr>
          <w:rFonts w:hint="eastAsia" w:ascii="宋体" w:hAnsi="宋体" w:eastAsia="宋体" w:cs="宋体"/>
          <w:sz w:val="28"/>
          <w:szCs w:val="28"/>
          <w:lang w:val="zh-CN" w:eastAsia="zh-CN"/>
        </w:rPr>
        <w:t>2024年度</w:t>
      </w:r>
      <w:r>
        <w:rPr>
          <w:rFonts w:hint="eastAsia" w:ascii="宋体" w:hAnsi="宋体" w:eastAsia="宋体" w:cs="宋体"/>
          <w:sz w:val="28"/>
          <w:szCs w:val="28"/>
          <w:lang w:val="zh-CN"/>
        </w:rPr>
        <w:t>财务审计报告或开标前1个月以内银行出具的资信证明原件或复印件加盖公章。</w:t>
      </w:r>
    </w:p>
    <w:p w14:paraId="5AC9B461">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3.</w:t>
      </w:r>
      <w:r>
        <w:rPr>
          <w:rFonts w:hint="eastAsia" w:ascii="宋体" w:hAnsi="宋体" w:eastAsia="宋体" w:cs="宋体"/>
          <w:sz w:val="28"/>
          <w:szCs w:val="28"/>
          <w:lang w:val="zh-CN"/>
        </w:rPr>
        <w:t>供应商须提供202</w:t>
      </w:r>
      <w:r>
        <w:rPr>
          <w:rFonts w:hint="eastAsia" w:ascii="宋体" w:hAnsi="宋体" w:eastAsia="宋体" w:cs="宋体"/>
          <w:sz w:val="28"/>
          <w:szCs w:val="28"/>
          <w:lang w:val="zh-CN" w:eastAsia="zh-CN"/>
        </w:rPr>
        <w:t>4</w:t>
      </w:r>
      <w:r>
        <w:rPr>
          <w:rFonts w:hint="eastAsia" w:ascii="宋体" w:hAnsi="宋体" w:eastAsia="宋体" w:cs="宋体"/>
          <w:sz w:val="28"/>
          <w:szCs w:val="28"/>
          <w:lang w:val="zh-CN"/>
        </w:rPr>
        <w:t>年</w:t>
      </w:r>
      <w:r>
        <w:rPr>
          <w:rFonts w:hint="eastAsia" w:ascii="宋体" w:hAnsi="宋体" w:eastAsia="宋体" w:cs="宋体"/>
          <w:sz w:val="28"/>
          <w:szCs w:val="28"/>
          <w:lang w:val="zh-CN" w:eastAsia="zh-CN"/>
        </w:rPr>
        <w:t>6</w:t>
      </w:r>
      <w:r>
        <w:rPr>
          <w:rFonts w:hint="eastAsia" w:ascii="宋体" w:hAnsi="宋体" w:eastAsia="宋体" w:cs="宋体"/>
          <w:sz w:val="28"/>
          <w:szCs w:val="28"/>
          <w:lang w:val="zh-CN"/>
        </w:rPr>
        <w:t>月至评审当日前任意一个月依法缴纳税收的有效票据凭证复印件并加盖供应商单位公章，依法免税的供应商，须提供税务机关出具的依法免税的证明文件复印件并加盖供应商单位公章，纳税零申报供应商应当按照以下方式提供相应证明文件：</w:t>
      </w:r>
    </w:p>
    <w:p w14:paraId="3C475540">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3.1 加盖受理章后的税务大厅零申报报表，同时加盖供应商单位公章；</w:t>
      </w:r>
    </w:p>
    <w:p w14:paraId="7C922C7F">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rPr>
        <w:t>3.2 网络申报截图并加盖供应商单位公章；</w:t>
      </w:r>
    </w:p>
    <w:p w14:paraId="56561A07">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4.</w:t>
      </w:r>
      <w:r>
        <w:rPr>
          <w:rFonts w:hint="eastAsia" w:ascii="宋体" w:hAnsi="宋体" w:eastAsia="宋体" w:cs="宋体"/>
          <w:sz w:val="28"/>
          <w:szCs w:val="28"/>
          <w:lang w:val="zh-CN"/>
        </w:rPr>
        <w:t>提供开标截止日前3年在经营活动中没有重大违法记录的书面声明（截至磋商截止日成立不足3年的供应商可提供自成立以来无重大违法记录的书面声明）。</w:t>
      </w:r>
    </w:p>
    <w:p w14:paraId="320D3CB0">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5.</w:t>
      </w:r>
      <w:r>
        <w:rPr>
          <w:rFonts w:hint="eastAsia" w:ascii="宋体" w:hAnsi="宋体" w:eastAsia="宋体" w:cs="宋体"/>
          <w:sz w:val="28"/>
          <w:szCs w:val="28"/>
          <w:lang w:val="zh-CN"/>
        </w:rPr>
        <w:t>供应商若法定代表人参加开标会，须提供法定代表人身份证明书（需由法定代表人签字或盖章）和法定代表人身份证原件；若法人授权委托人参加开标会，须提供法定代表人授权委托书（需由法定代表人签字或盖章），由被授权人携带本人身份证原件参加开标会议。</w:t>
      </w:r>
    </w:p>
    <w:p w14:paraId="26F0EDDB">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6.</w:t>
      </w:r>
      <w:r>
        <w:rPr>
          <w:rFonts w:hint="eastAsia" w:ascii="宋体" w:hAnsi="宋体" w:eastAsia="宋体" w:cs="宋体"/>
          <w:sz w:val="28"/>
          <w:szCs w:val="28"/>
          <w:lang w:val="zh-CN"/>
        </w:rPr>
        <w:t>本项目不接受联合体</w:t>
      </w:r>
      <w:r>
        <w:rPr>
          <w:rFonts w:hint="eastAsia" w:ascii="宋体" w:hAnsi="宋体" w:eastAsia="宋体" w:cs="宋体"/>
          <w:sz w:val="28"/>
          <w:szCs w:val="28"/>
          <w:lang w:val="zh-CN" w:eastAsia="zh-CN"/>
        </w:rPr>
        <w:t>磋商</w:t>
      </w:r>
      <w:r>
        <w:rPr>
          <w:rFonts w:hint="eastAsia" w:ascii="宋体" w:hAnsi="宋体" w:eastAsia="宋体" w:cs="宋体"/>
          <w:sz w:val="28"/>
          <w:szCs w:val="28"/>
          <w:lang w:val="zh-CN"/>
        </w:rPr>
        <w:t>，</w:t>
      </w:r>
      <w:r>
        <w:rPr>
          <w:rFonts w:hint="eastAsia" w:ascii="宋体" w:hAnsi="宋体" w:eastAsia="宋体" w:cs="宋体"/>
          <w:sz w:val="28"/>
          <w:szCs w:val="28"/>
          <w:lang w:val="zh-CN" w:eastAsia="zh-CN"/>
        </w:rPr>
        <w:t>供应商</w:t>
      </w:r>
      <w:r>
        <w:rPr>
          <w:rFonts w:hint="eastAsia" w:ascii="宋体" w:hAnsi="宋体" w:eastAsia="宋体" w:cs="宋体"/>
          <w:sz w:val="28"/>
          <w:szCs w:val="28"/>
          <w:lang w:val="zh-CN"/>
        </w:rPr>
        <w:t>须提供《非联合体</w:t>
      </w:r>
      <w:r>
        <w:rPr>
          <w:rFonts w:hint="eastAsia" w:ascii="宋体" w:hAnsi="宋体" w:eastAsia="宋体" w:cs="宋体"/>
          <w:sz w:val="28"/>
          <w:szCs w:val="28"/>
          <w:lang w:val="zh-CN" w:eastAsia="zh-CN"/>
        </w:rPr>
        <w:t>磋商</w:t>
      </w:r>
      <w:r>
        <w:rPr>
          <w:rFonts w:hint="eastAsia" w:ascii="宋体" w:hAnsi="宋体" w:eastAsia="宋体" w:cs="宋体"/>
          <w:sz w:val="28"/>
          <w:szCs w:val="28"/>
          <w:lang w:val="zh-CN"/>
        </w:rPr>
        <w:t>声明函》。</w:t>
      </w:r>
    </w:p>
    <w:p w14:paraId="1B944E6F">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五、获取竞争性磋商文件时间、地点：</w:t>
      </w:r>
    </w:p>
    <w:p w14:paraId="30DE864F">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1.磋商文件获取时间：获取磋商文件的时间：2025年</w:t>
      </w:r>
      <w:r>
        <w:rPr>
          <w:rFonts w:hint="eastAsia" w:ascii="宋体" w:hAnsi="宋体" w:cs="宋体"/>
          <w:sz w:val="28"/>
          <w:szCs w:val="28"/>
          <w:lang w:val="en-US" w:eastAsia="zh-CN"/>
        </w:rPr>
        <w:t>12</w:t>
      </w:r>
      <w:r>
        <w:rPr>
          <w:rFonts w:hint="eastAsia" w:ascii="宋体" w:hAnsi="宋体" w:eastAsia="宋体" w:cs="宋体"/>
          <w:sz w:val="28"/>
          <w:szCs w:val="28"/>
          <w:lang w:val="zh-CN" w:eastAsia="zh-CN"/>
        </w:rPr>
        <w:t>月1</w:t>
      </w:r>
      <w:r>
        <w:rPr>
          <w:rFonts w:hint="eastAsia" w:ascii="宋体" w:hAnsi="宋体" w:cs="宋体"/>
          <w:sz w:val="28"/>
          <w:szCs w:val="28"/>
          <w:lang w:val="en-US" w:eastAsia="zh-CN"/>
        </w:rPr>
        <w:t>8</w:t>
      </w:r>
      <w:r>
        <w:rPr>
          <w:rFonts w:hint="eastAsia" w:ascii="宋体" w:hAnsi="宋体" w:eastAsia="宋体" w:cs="宋体"/>
          <w:sz w:val="28"/>
          <w:szCs w:val="28"/>
          <w:lang w:val="zh-CN" w:eastAsia="zh-CN"/>
        </w:rPr>
        <w:t>日至2025年</w:t>
      </w:r>
      <w:r>
        <w:rPr>
          <w:rFonts w:hint="eastAsia" w:ascii="宋体" w:hAnsi="宋体" w:cs="宋体"/>
          <w:sz w:val="28"/>
          <w:szCs w:val="28"/>
          <w:lang w:val="en-US" w:eastAsia="zh-CN"/>
        </w:rPr>
        <w:t>12</w:t>
      </w:r>
      <w:r>
        <w:rPr>
          <w:rFonts w:hint="eastAsia" w:ascii="宋体" w:hAnsi="宋体" w:eastAsia="宋体" w:cs="宋体"/>
          <w:sz w:val="28"/>
          <w:szCs w:val="28"/>
          <w:lang w:val="zh-CN" w:eastAsia="zh-CN"/>
        </w:rPr>
        <w:t>月</w:t>
      </w:r>
      <w:r>
        <w:rPr>
          <w:rFonts w:hint="eastAsia" w:ascii="宋体" w:hAnsi="宋体" w:cs="宋体"/>
          <w:sz w:val="28"/>
          <w:szCs w:val="28"/>
          <w:lang w:val="en-US" w:eastAsia="zh-CN"/>
        </w:rPr>
        <w:t>25</w:t>
      </w:r>
      <w:r>
        <w:rPr>
          <w:rFonts w:hint="eastAsia" w:ascii="宋体" w:hAnsi="宋体" w:eastAsia="宋体" w:cs="宋体"/>
          <w:sz w:val="28"/>
          <w:szCs w:val="28"/>
          <w:lang w:val="zh-CN" w:eastAsia="zh-CN"/>
        </w:rPr>
        <w:t>日（北京时间），每天9:00-11:30；1</w:t>
      </w:r>
      <w:r>
        <w:rPr>
          <w:rFonts w:hint="eastAsia" w:ascii="宋体" w:hAnsi="宋体" w:cs="宋体"/>
          <w:sz w:val="28"/>
          <w:szCs w:val="28"/>
          <w:lang w:val="en-US" w:eastAsia="zh-CN"/>
        </w:rPr>
        <w:t>3</w:t>
      </w:r>
      <w:r>
        <w:rPr>
          <w:rFonts w:hint="eastAsia" w:ascii="宋体" w:hAnsi="宋体" w:eastAsia="宋体" w:cs="宋体"/>
          <w:sz w:val="28"/>
          <w:szCs w:val="28"/>
          <w:lang w:val="zh-CN" w:eastAsia="zh-CN"/>
        </w:rPr>
        <w:t>:</w:t>
      </w:r>
      <w:r>
        <w:rPr>
          <w:rFonts w:hint="eastAsia" w:ascii="宋体" w:hAnsi="宋体" w:cs="宋体"/>
          <w:sz w:val="28"/>
          <w:szCs w:val="28"/>
          <w:lang w:val="en-US" w:eastAsia="zh-CN"/>
        </w:rPr>
        <w:t>3</w:t>
      </w:r>
      <w:r>
        <w:rPr>
          <w:rFonts w:hint="eastAsia" w:ascii="宋体" w:hAnsi="宋体" w:eastAsia="宋体" w:cs="宋体"/>
          <w:sz w:val="28"/>
          <w:szCs w:val="28"/>
          <w:lang w:val="zh-CN" w:eastAsia="zh-CN"/>
        </w:rPr>
        <w:t>0-17:00时。</w:t>
      </w:r>
    </w:p>
    <w:p w14:paraId="365D67E5">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2.获取磋商文件方式：发送邮件至snkyycgzx@tj.gov.cn，注明参加本项目，邮件中需提供有效期内的营业执照副本或事业单位法人证书扫描件、资质证书扫描件及项目负责人联系方式，审验合格后邮箱回复磋商文件。</w:t>
      </w:r>
    </w:p>
    <w:p w14:paraId="54A4157F">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rPr>
        <w:t>六、</w:t>
      </w:r>
      <w:r>
        <w:rPr>
          <w:rFonts w:hint="eastAsia" w:ascii="宋体" w:hAnsi="宋体" w:eastAsia="宋体" w:cs="宋体"/>
          <w:sz w:val="28"/>
          <w:szCs w:val="28"/>
          <w:lang w:val="zh-CN" w:eastAsia="zh-CN"/>
        </w:rPr>
        <w:t>磋商截止日期及磋商地点：</w:t>
      </w:r>
    </w:p>
    <w:p w14:paraId="7AFB0DF8">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地点：天津市南开医院新院区门诊楼4楼第二会议室</w:t>
      </w:r>
    </w:p>
    <w:p w14:paraId="1BCF9DC1">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eastAsia="zh-CN"/>
        </w:rPr>
        <w:t>时间：2025年</w:t>
      </w:r>
      <w:r>
        <w:rPr>
          <w:rFonts w:hint="eastAsia" w:ascii="宋体" w:hAnsi="宋体" w:cs="宋体"/>
          <w:sz w:val="28"/>
          <w:szCs w:val="28"/>
          <w:lang w:val="en-US" w:eastAsia="zh-CN"/>
        </w:rPr>
        <w:t>12</w:t>
      </w:r>
      <w:r>
        <w:rPr>
          <w:rFonts w:hint="eastAsia" w:ascii="宋体" w:hAnsi="宋体" w:eastAsia="宋体" w:cs="宋体"/>
          <w:sz w:val="28"/>
          <w:szCs w:val="28"/>
          <w:lang w:val="zh-CN" w:eastAsia="zh-CN"/>
        </w:rPr>
        <w:t>月2</w:t>
      </w:r>
      <w:r>
        <w:rPr>
          <w:rFonts w:hint="eastAsia" w:ascii="宋体" w:hAnsi="宋体" w:cs="宋体"/>
          <w:sz w:val="28"/>
          <w:szCs w:val="28"/>
          <w:lang w:val="en-US" w:eastAsia="zh-CN"/>
        </w:rPr>
        <w:t>9</w:t>
      </w:r>
      <w:r>
        <w:rPr>
          <w:rFonts w:hint="eastAsia" w:ascii="宋体" w:hAnsi="宋体" w:eastAsia="宋体" w:cs="宋体"/>
          <w:sz w:val="28"/>
          <w:szCs w:val="28"/>
          <w:lang w:val="zh-CN" w:eastAsia="zh-CN"/>
        </w:rPr>
        <w:t>日</w:t>
      </w:r>
      <w:r>
        <w:rPr>
          <w:rFonts w:hint="eastAsia" w:ascii="宋体" w:hAnsi="宋体" w:cs="宋体"/>
          <w:sz w:val="28"/>
          <w:szCs w:val="28"/>
          <w:lang w:val="en-US" w:eastAsia="zh-CN"/>
        </w:rPr>
        <w:t>14</w:t>
      </w:r>
      <w:r>
        <w:rPr>
          <w:rFonts w:hint="eastAsia" w:ascii="宋体" w:hAnsi="宋体" w:eastAsia="宋体" w:cs="宋体"/>
          <w:sz w:val="28"/>
          <w:szCs w:val="28"/>
          <w:lang w:val="zh-CN" w:eastAsia="zh-CN"/>
        </w:rPr>
        <w:t>：30时（北京时间）</w:t>
      </w:r>
      <w:r>
        <w:rPr>
          <w:rFonts w:hint="eastAsia" w:ascii="宋体" w:hAnsi="宋体" w:eastAsia="宋体" w:cs="宋体"/>
          <w:sz w:val="28"/>
          <w:szCs w:val="28"/>
          <w:lang w:val="zh-CN"/>
        </w:rPr>
        <w:t>。</w:t>
      </w:r>
    </w:p>
    <w:p w14:paraId="2E9A0A0A">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lang w:val="zh-CN"/>
        </w:rPr>
      </w:pPr>
      <w:r>
        <w:rPr>
          <w:rFonts w:hint="eastAsia" w:ascii="宋体" w:hAnsi="宋体" w:eastAsia="宋体" w:cs="宋体"/>
          <w:sz w:val="28"/>
          <w:szCs w:val="28"/>
          <w:lang w:val="zh-CN"/>
        </w:rPr>
        <w:t>逾期送达，恕不接受。</w:t>
      </w:r>
    </w:p>
    <w:p w14:paraId="7E159A17">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rPr>
      </w:pPr>
      <w:r>
        <w:rPr>
          <w:rFonts w:hint="eastAsia" w:ascii="宋体" w:hAnsi="宋体" w:eastAsia="宋体" w:cs="宋体"/>
          <w:sz w:val="28"/>
          <w:szCs w:val="28"/>
          <w:lang w:val="zh-CN"/>
        </w:rPr>
        <w:t>七、</w:t>
      </w:r>
      <w:r>
        <w:rPr>
          <w:rFonts w:hint="eastAsia" w:ascii="宋体" w:hAnsi="宋体" w:eastAsia="宋体" w:cs="宋体"/>
          <w:sz w:val="28"/>
          <w:szCs w:val="28"/>
        </w:rPr>
        <w:t>釆购人的名称、地址和联系方式</w:t>
      </w:r>
    </w:p>
    <w:p w14:paraId="66C94963">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rPr>
      </w:pPr>
      <w:r>
        <w:rPr>
          <w:rFonts w:hint="eastAsia" w:ascii="宋体" w:hAnsi="宋体" w:eastAsia="宋体" w:cs="宋体"/>
          <w:sz w:val="28"/>
          <w:szCs w:val="28"/>
        </w:rPr>
        <w:t>1.釆购人：天津市中西医结合医院（天津市南开医院）</w:t>
      </w:r>
    </w:p>
    <w:p w14:paraId="6B8CA544">
      <w:pPr>
        <w:keepNext w:val="0"/>
        <w:keepLines w:val="0"/>
        <w:pageBreakBefore w:val="0"/>
        <w:widowControl w:val="0"/>
        <w:kinsoku/>
        <w:wordWrap/>
        <w:overflowPunct/>
        <w:topLinePunct w:val="0"/>
        <w:autoSpaceDE w:val="0"/>
        <w:autoSpaceDN w:val="0"/>
        <w:bidi w:val="0"/>
        <w:adjustRightInd w:val="0"/>
        <w:snapToGrid/>
        <w:spacing w:line="520" w:lineRule="exact"/>
        <w:ind w:firstLine="480"/>
        <w:textAlignment w:val="auto"/>
        <w:rPr>
          <w:rFonts w:hint="eastAsia" w:ascii="宋体" w:hAnsi="宋体" w:eastAsia="宋体" w:cs="宋体"/>
          <w:sz w:val="28"/>
          <w:szCs w:val="28"/>
        </w:rPr>
      </w:pPr>
      <w:r>
        <w:rPr>
          <w:rFonts w:hint="eastAsia" w:ascii="宋体" w:hAnsi="宋体" w:eastAsia="宋体" w:cs="宋体"/>
          <w:sz w:val="28"/>
          <w:szCs w:val="28"/>
        </w:rPr>
        <w:t>2.地址：天津市长江道6号</w:t>
      </w:r>
    </w:p>
    <w:p w14:paraId="3B2C6B31">
      <w:pPr>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3.联系人和联系电话：刘老师 022-2743</w:t>
      </w:r>
      <w:r>
        <w:rPr>
          <w:rFonts w:hint="eastAsia" w:ascii="宋体" w:hAnsi="宋体" w:eastAsia="宋体" w:cs="宋体"/>
          <w:sz w:val="28"/>
          <w:szCs w:val="28"/>
          <w:lang w:val="en-US" w:eastAsia="zh-CN"/>
        </w:rPr>
        <w:t>5566</w:t>
      </w:r>
    </w:p>
    <w:p w14:paraId="5B2F781E">
      <w:pPr>
        <w:spacing w:line="420" w:lineRule="exact"/>
        <w:ind w:firstLine="640" w:firstLineChars="200"/>
        <w:jc w:val="left"/>
        <w:rPr>
          <w:rFonts w:hint="eastAsia" w:ascii="宋体" w:hAnsi="宋体" w:cs="宋体"/>
          <w:sz w:val="32"/>
          <w:szCs w:val="32"/>
        </w:rPr>
      </w:pPr>
    </w:p>
    <w:p w14:paraId="0E3E6CD6">
      <w:pPr>
        <w:spacing w:line="420" w:lineRule="exact"/>
        <w:ind w:firstLine="640" w:firstLineChars="200"/>
        <w:jc w:val="left"/>
        <w:rPr>
          <w:rFonts w:hint="eastAsia" w:ascii="宋体" w:hAnsi="宋体" w:cs="宋体"/>
          <w:sz w:val="32"/>
          <w:szCs w:val="32"/>
        </w:rPr>
      </w:pPr>
    </w:p>
    <w:p w14:paraId="49A3AE4A">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textAlignment w:val="auto"/>
        <w:rPr>
          <w:rFonts w:hint="eastAsia" w:ascii="宋体" w:hAnsi="宋体" w:eastAsia="宋体" w:cs="宋体"/>
          <w:sz w:val="28"/>
          <w:szCs w:val="28"/>
        </w:rPr>
      </w:pPr>
      <w:r>
        <w:rPr>
          <w:rFonts w:hint="eastAsia" w:ascii="宋体" w:hAnsi="宋体" w:cs="宋体"/>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A3AC8"/>
    <w:multiLevelType w:val="multilevel"/>
    <w:tmpl w:val="058A3AC8"/>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55B72E1B"/>
    <w:multiLevelType w:val="singleLevel"/>
    <w:tmpl w:val="55B72E1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F62D0"/>
    <w:rsid w:val="12537050"/>
    <w:rsid w:val="1A9F1654"/>
    <w:rsid w:val="30F213DB"/>
    <w:rsid w:val="33BF62D0"/>
    <w:rsid w:val="3D0E7D81"/>
    <w:rsid w:val="400A259E"/>
    <w:rsid w:val="55465BF2"/>
    <w:rsid w:val="58101814"/>
    <w:rsid w:val="70433E4D"/>
    <w:rsid w:val="74D7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pacing w:val="2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character" w:styleId="6">
    <w:name w:val="Hyperlink"/>
    <w:basedOn w:val="5"/>
    <w:qFormat/>
    <w:uiPriority w:val="0"/>
    <w:rPr>
      <w:color w:val="0000FF"/>
      <w:u w:val="single"/>
    </w:rPr>
  </w:style>
  <w:style w:type="paragraph" w:customStyle="1" w:styleId="7">
    <w:name w:val="正文 A"/>
    <w:next w:val="8"/>
    <w:qFormat/>
    <w:uiPriority w:val="0"/>
    <w:pPr>
      <w:widowControl w:val="0"/>
      <w:spacing w:line="360" w:lineRule="auto"/>
      <w:ind w:firstLine="1648"/>
      <w:jc w:val="both"/>
    </w:pPr>
    <w:rPr>
      <w:rFonts w:ascii="Times New Roman" w:hAnsi="Times New Roman" w:eastAsia="Times New Roman" w:cs="Times New Roman"/>
      <w:color w:val="000000"/>
      <w:kern w:val="2"/>
      <w:sz w:val="24"/>
      <w:szCs w:val="24"/>
      <w:lang w:val="en-US" w:eastAsia="zh-CN" w:bidi="ar-SA"/>
    </w:rPr>
  </w:style>
  <w:style w:type="paragraph" w:customStyle="1" w:styleId="8">
    <w:name w:val="正文文本1"/>
    <w:basedOn w:val="9"/>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
    <w:name w:val="正文1"/>
    <w:qFormat/>
    <w:uiPriority w:val="0"/>
    <w:pPr>
      <w:widowControl w:val="0"/>
      <w:spacing w:line="360" w:lineRule="auto"/>
      <w:ind w:firstLine="1648"/>
      <w:jc w:val="both"/>
    </w:pPr>
    <w:rPr>
      <w:rFonts w:hint="eastAsia" w:ascii="Arial Unicode MS" w:hAnsi="Arial Unicode MS" w:eastAsia="Arial Unicode MS" w:cs="Arial Unicode MS"/>
      <w:color w:val="000000"/>
      <w:sz w:val="22"/>
      <w:szCs w:val="22"/>
      <w:u w:val="none"/>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934</Words>
  <Characters>1038</Characters>
  <Lines>0</Lines>
  <Paragraphs>0</Paragraphs>
  <TotalTime>16</TotalTime>
  <ScaleCrop>false</ScaleCrop>
  <LinksUpToDate>false</LinksUpToDate>
  <CharactersWithSpaces>1054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2020-08-31T06:36:00Z</dcterms:created>
  <dc:creator>刘雅芳</dc:creator>
  <cp:lastModifiedBy>琴</cp:lastModifiedBy>
  <dcterms:modified xsi:type="dcterms:W3CDTF">2025-12-17T02:12:29Z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F55C0E54D02C468CB75B27EFE449258A_13</vt:lpwstr>
  </property>
  <property fmtid="{D5CDD505-2E9C-101B-9397-08002B2CF9AE}" pid="4" name="KSOTemplateDocerSaveRecord">
    <vt:lpwstr>eyJoZGlkIjoiNzkwOThlMDIzZDRkOTU5MzVjYzFmOTkzMjg5MTFlNDEiLCJ1c2VySWQiOiIzOTUzMzc1MjgifQ==</vt:lpwstr>
  </property>
</Properties>
</file>